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left"/>
        <w:rPr>
          <w:rFonts w:ascii="Helvetica Neue" w:cs="Helvetica Neue" w:eastAsia="Helvetica Neue" w:hAnsi="Helvetica Neue"/>
          <w:b w:val="1"/>
          <w:sz w:val="34"/>
          <w:szCs w:val="34"/>
        </w:rPr>
      </w:pPr>
      <w:r w:rsidDel="00000000" w:rsidR="00000000" w:rsidRPr="00000000">
        <w:rPr>
          <w:rtl w:val="0"/>
        </w:rPr>
      </w:r>
    </w:p>
    <w:p w:rsidR="00000000" w:rsidDel="00000000" w:rsidP="00000000" w:rsidRDefault="00000000" w:rsidRPr="00000000" w14:paraId="00000002">
      <w:pPr>
        <w:spacing w:line="276" w:lineRule="auto"/>
        <w:jc w:val="center"/>
        <w:rPr>
          <w:rFonts w:ascii="Helvetica Neue" w:cs="Helvetica Neue" w:eastAsia="Helvetica Neue" w:hAnsi="Helvetica Neue"/>
          <w:b w:val="1"/>
          <w:sz w:val="17"/>
          <w:szCs w:val="17"/>
        </w:rPr>
      </w:pPr>
      <w:r w:rsidDel="00000000" w:rsidR="00000000" w:rsidRPr="00000000">
        <w:rPr>
          <w:rFonts w:ascii="Helvetica Neue" w:cs="Helvetica Neue" w:eastAsia="Helvetica Neue" w:hAnsi="Helvetica Neue"/>
          <w:b w:val="1"/>
          <w:sz w:val="34"/>
          <w:szCs w:val="34"/>
          <w:rtl w:val="0"/>
        </w:rPr>
        <w:t xml:space="preserve">Philip Morris International anuncia contrato para adquirir a Fertin Pharma</w:t>
      </w:r>
      <w:r w:rsidDel="00000000" w:rsidR="00000000" w:rsidRPr="00000000">
        <w:rPr>
          <w:rtl w:val="0"/>
        </w:rPr>
      </w:r>
    </w:p>
    <w:p w:rsidR="00000000" w:rsidDel="00000000" w:rsidP="00000000" w:rsidRDefault="00000000" w:rsidRPr="00000000" w14:paraId="00000003">
      <w:pPr>
        <w:pStyle w:val="Subtitle"/>
        <w:keepLines w:val="1"/>
        <w:ind w:left="0" w:firstLine="0"/>
        <w:rPr>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04">
      <w:pPr>
        <w:numPr>
          <w:ilvl w:val="0"/>
          <w:numId w:val="1"/>
        </w:numPr>
        <w:spacing w:line="276" w:lineRule="auto"/>
        <w:ind w:left="720" w:hanging="360"/>
        <w:jc w:val="center"/>
      </w:pPr>
      <w:r w:rsidDel="00000000" w:rsidR="00000000" w:rsidRPr="00000000">
        <w:rPr>
          <w:rFonts w:ascii="Helvetica Neue" w:cs="Helvetica Neue" w:eastAsia="Helvetica Neue" w:hAnsi="Helvetica Neue"/>
          <w:sz w:val="22"/>
          <w:szCs w:val="22"/>
          <w:rtl w:val="0"/>
        </w:rPr>
        <w:t xml:space="preserve">La adquisición potencia la meta de PMI de convertirse en un negocio mayoritariamente libre de humo para el 2025 y crea oportunidades de crecimiento más allá de la nicotina.</w:t>
      </w:r>
      <w:r w:rsidDel="00000000" w:rsidR="00000000" w:rsidRPr="00000000">
        <w:rPr>
          <w:rtl w:val="0"/>
        </w:rPr>
      </w:r>
    </w:p>
    <w:p w:rsidR="00000000" w:rsidDel="00000000" w:rsidP="00000000" w:rsidRDefault="00000000" w:rsidRPr="00000000" w14:paraId="00000005">
      <w:pPr>
        <w:ind w:left="0" w:firstLine="0"/>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sz w:val="22"/>
          <w:szCs w:val="22"/>
          <w:rtl w:val="0"/>
        </w:rPr>
        <w:t xml:space="preserve">Ciudad de México, 5 de julio de 2021 – </w:t>
      </w:r>
      <w:r w:rsidDel="00000000" w:rsidR="00000000" w:rsidRPr="00000000">
        <w:rPr>
          <w:rFonts w:ascii="Helvetica Neue" w:cs="Helvetica Neue" w:eastAsia="Helvetica Neue" w:hAnsi="Helvetica Neue"/>
          <w:sz w:val="22"/>
          <w:szCs w:val="22"/>
          <w:rtl w:val="0"/>
        </w:rPr>
        <w:t xml:space="preserve">Philip Morris International Inc. (PMI) (NYSE: PM) anunció que ha celebrado un contrato para adquirir a Fertin Pharma A/S (Fertin Pharma), un desarrollador y fabricante líder de productos farmacéuticos y de bienestar innovadores basados en sistemas de administración oral e intraoral, por un valor de empresa de DKK 5.100 millones (aproximadamente USD 820 millones).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“La adquisición de Fertin Pharma será un paso significativo en nuestro trayecto para entregar un futuro libre de humo, mejorando nuestro portafolio de productos libres de humo, sobre todo en el ámbito oral moderno, y acelerando nuestro avance más allá de la nicotina", declaró Jacek Olczak, Director Ejecutivo. “Tanto PMI como Fertin comparten un compromiso con la ciencia y las innovaciones centradas en el consumidor para una vida mejor y estoy encantado de que hayamos llegado a este acuerdo. El diverso portafolio de tecnologías de Fertin, la combinación de negocios en evolución y la experiencia de clase mundial enriquecerán nuestra línea de innovación y capacidades, proporcionando velocidad y escala en la administración oral para apoyar nuestros objetivos de 2025 de generar más del 50% de nuestros ingresos netos de productos libres de humo y al menos mil millones de dólares de productos más allá de la nicotina”.</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Fertin Pharma es una empresa privada con más de 850 empleados y operaciones en Dinamarca, Canadá e India. Es una organización de desarrollo y fabricación por contrato (CDMO) líder, especializada en la investigación, el desarrollo y la producción de gomas, bolsas, comprimidos licuables y otros sistemas orales sólidos para la administración de ingredientes activos, incluida la nicotina, donde es un productor líder de soluciones de Terapia de Reemplazo de Nicotina (NRT). La compañía y sus empleados aportan una importante experiencia científica y conocimientos técnicos al desarrollo de soluciones innovadoras, impulsando el crecimiento por encima de la categoría en las áreas de negocio nuevas y existentes. En 2020, Fertin Pharma generó unos ingresos netos de DKK 1.100 millones (aproximadamente USD 160 millones). El valor de la transacción representa un múltiplo de unas 15 veces el EBITDA de Fertin Pharma en 2020.</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Fertin Pharma es actualmente propiedad de la organización de inversión global EQT y Bagger-Sørensen &amp; Co. Una vez completada la adquisición, Fertin Pharma se convertirá en una subsidiaria de propiedad absoluta de PMI. PMI financiará la transacción con el efectivo existente y espera que se cierre en el cuarto trimestre de 2021, sujeto a la aprobación de las autoridades reguladoras correspondientes. PMI espera que el impacto de la adquisición en su BPA diluido ajustado para todo el año 2021 sea inmaterial.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Peter Halling, director ejecutivo de Fertin Pharma, comentó: "Fertin Pharma ha realizado un viaje fantástico con EQT y la familia Bagger-Sørensen como propietarios. Con la nueva propiedad, Fertin Pharma estará en una gran posición para seguir cumpliendo con nuestra visión y misión, incluyendo nuestro trabajo como CDMO para nuestros clientes. PMI está experimentando una transformación inspiradora como compañía con la ambición de ofrecer un futuro libre de humo y construir una cartera de productos más allá de la nicotina. Una ambición que coincide perfectamente con la de Fertin Pharma, es decir, permitir a las personas llevar una vida más sana. En PMI hemos encontrado un nuevo propietario y socio que comparte nuestra visión, que está comprometido con la ciencia y que permitirá a Fertin Pharma seguir acelerando y creciendo como compañía".</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sz w:val="20"/>
          <w:szCs w:val="20"/>
          <w:rtl w:val="0"/>
        </w:rPr>
        <w:t xml:space="preserve">Con la adquisición de Fertin Pharma, PMI: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Obtendrá un conocimiento sustancial para el desarrollo, la formulación y la comercialización de plataformas libres de humo actuales y adicionales, incluyendo la capacidad de acelerar nuestra presencia en la categoría oral moderna de rápido crecimiento, proporcionando una experiencia superior al consumidor a través de una amplia gama de productos libres de humo, como bolsas y pastillas de nicotina.</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Aprovechará las plataformas de administración oral de Fertin para acceder a una serie de tecnologías prometedoras, complementarias a la experiencia en inhalación de PMI, para productos botánicos científicamente probados y otros productos de autocuidado del bienestar, incluyendo soluciones y suplementos de venta libre que mejoren la vida de las personas en áreas como el sueño, la energía, la calma y la concentración.</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Seguirá construyendo nuestra plataforma global de I+D y experiencia en la fabricación de productos con nicotina y más allá de la nicotina mediante la incorporación de las sólidas capacidades y la mano de obra calificada de Fertin, que incluye 80 científicos.</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Acelerará el progreso en las prioridades clave de sostenibilidad, en particular ampliando el alcance y el acceso de nuestras alternativas sin humo a los fumadores adultos de todo el mundo para acelerar el fin de los fumadores y construir un sólido negocio más allá de la nicotina.</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 comienzos de este año, PMI anunció su meta de generar más del 50 por ciento de sus ingresos netos totales de productos libres de humo para el 2025. Además de su compromiso continuo de lograr un futuro libre de humo, PMI busca apalancar las capacidades en las ciencias biológicas, innovación de productos y experticia clínica para expandir su portafolio más allá del tabaco y la nicotina, con productos y soluciones científicamente soportadas que mejoran la vida de las personas y que generan un impacto positivo en la sociedad. </w:t>
      </w:r>
    </w:p>
    <w:p w:rsidR="00000000" w:rsidDel="00000000" w:rsidP="00000000" w:rsidRDefault="00000000" w:rsidRPr="00000000" w14:paraId="0000001A">
      <w:pPr>
        <w:spacing w:line="276" w:lineRule="auto"/>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76" w:lineRule="auto"/>
        <w:jc w:val="both"/>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76" w:lineRule="auto"/>
        <w:jc w:val="center"/>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76" w:lineRule="auto"/>
        <w:jc w:val="center"/>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76" w:lineRule="auto"/>
        <w:jc w:val="both"/>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b w:val="1"/>
          <w:color w:val="000000"/>
          <w:sz w:val="20"/>
          <w:szCs w:val="20"/>
          <w:rtl w:val="0"/>
        </w:rPr>
        <w:t xml:space="preserve">Acerca de Philip Morris International (PMI)</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76" w:lineRule="auto"/>
        <w:jc w:val="both"/>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76"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Philip Morris International (PMI) está liderando una transformación en la industria tabacalera para crear un futuro libre de humo y, en última instancia, reemplazar los cigarrillos por productos libres de humo en beneficio de los adultos que de otro modo seguirían fumando, la sociedad, la compañía y sus accionistas. PMI es una compañía tabacalera internacional líder, dedicada a la fabricación y venta de cigarrillos, así como productos libres de humo y dispositivos y accesorios electrónicos asociados, y otros productos que contienen nicotina en mercados fuera de los Estados Unidos. </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76"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76"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PMI está construyendo un futuro en una nueva categoría de productos libres de humo que, si bien no están libres de riesgos, son una opción mucho mejor que seguir fumando. A través de capacidades multidisciplinarias en el desarrollo de productos, instalaciones de última generación y fundamentación científica, PMI tiene como objetivo garantizar que sus productos libres de humo cumplan con las preferencias de los consumidores adultos y los rigurosos requisitos regulatorios. El portafolio de productos IQOS libres de humo de PMI incluye productos que calientan y no queman y productos de vapor que contienen nicotina. Al 30 de septiembre de 2020, PMI estima que aproximadamente 11,7 millones de fumadores adultos en todo el mundo ya han dejado de fumar y han cambiado al producto que calienta y no quema de PMI, disponible para la venta en 61 mercados en ciudades clave o a nivel nacional, bajo la marca IQOS. Para obtener más información, visite </w:t>
      </w:r>
      <w:hyperlink r:id="rId7">
        <w:r w:rsidDel="00000000" w:rsidR="00000000" w:rsidRPr="00000000">
          <w:rPr>
            <w:rFonts w:ascii="Helvetica Neue" w:cs="Helvetica Neue" w:eastAsia="Helvetica Neue" w:hAnsi="Helvetica Neue"/>
            <w:color w:val="1155cc"/>
            <w:sz w:val="20"/>
            <w:szCs w:val="20"/>
            <w:u w:val="single"/>
            <w:rtl w:val="0"/>
          </w:rPr>
          <w:t xml:space="preserve">www.pmi.com</w:t>
        </w:r>
      </w:hyperlink>
      <w:r w:rsidDel="00000000" w:rsidR="00000000" w:rsidRPr="00000000">
        <w:rPr>
          <w:rFonts w:ascii="Helvetica Neue" w:cs="Helvetica Neue" w:eastAsia="Helvetica Neue" w:hAnsi="Helvetica Neue"/>
          <w:sz w:val="20"/>
          <w:szCs w:val="20"/>
          <w:rtl w:val="0"/>
        </w:rPr>
        <w:t xml:space="preserve"> y </w:t>
      </w:r>
      <w:hyperlink r:id="rId8">
        <w:r w:rsidDel="00000000" w:rsidR="00000000" w:rsidRPr="00000000">
          <w:rPr>
            <w:rFonts w:ascii="Helvetica Neue" w:cs="Helvetica Neue" w:eastAsia="Helvetica Neue" w:hAnsi="Helvetica Neue"/>
            <w:color w:val="1155cc"/>
            <w:sz w:val="20"/>
            <w:szCs w:val="20"/>
            <w:u w:val="single"/>
            <w:rtl w:val="0"/>
          </w:rPr>
          <w:t xml:space="preserve">www.pmiscience.com</w:t>
        </w:r>
      </w:hyperlink>
      <w:r w:rsidDel="00000000" w:rsidR="00000000" w:rsidRPr="00000000">
        <w:rPr>
          <w:rFonts w:ascii="Helvetica Neue" w:cs="Helvetica Neue" w:eastAsia="Helvetica Neue" w:hAnsi="Helvetica Neue"/>
          <w:sz w:val="20"/>
          <w:szCs w:val="20"/>
          <w:rtl w:val="0"/>
        </w:rPr>
        <w:t xml:space="preserve">.</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76"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jc w:val="both"/>
        <w:rPr>
          <w:rFonts w:ascii="Helvetica Neue" w:cs="Helvetica Neue" w:eastAsia="Helvetica Neue" w:hAnsi="Helvetica Neue"/>
          <w:color w:val="000000"/>
          <w:sz w:val="20"/>
          <w:szCs w:val="2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jc w:val="both"/>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color w:val="000000"/>
          <w:sz w:val="22"/>
          <w:szCs w:val="22"/>
          <w:rtl w:val="0"/>
        </w:rPr>
        <w:t xml:space="preserve">Contacto de prensa:</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jc w:val="both"/>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Míchel Torres</w:t>
      </w:r>
    </w:p>
    <w:p w:rsidR="00000000" w:rsidDel="00000000" w:rsidP="00000000" w:rsidRDefault="00000000" w:rsidRPr="00000000" w14:paraId="00000028">
      <w:pPr>
        <w:pBdr>
          <w:top w:space="0" w:sz="0" w:val="nil"/>
          <w:left w:space="0" w:sz="0" w:val="nil"/>
          <w:bottom w:space="0" w:sz="0" w:val="nil"/>
          <w:right w:space="0" w:sz="0" w:val="nil"/>
          <w:between w:space="0" w:sz="0" w:val="nil"/>
        </w:pBdr>
        <w:jc w:val="both"/>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sz w:val="22"/>
          <w:szCs w:val="22"/>
          <w:rtl w:val="0"/>
        </w:rPr>
        <w:t xml:space="preserve">a</w:t>
      </w:r>
      <w:r w:rsidDel="00000000" w:rsidR="00000000" w:rsidRPr="00000000">
        <w:rPr>
          <w:rFonts w:ascii="Helvetica Neue" w:cs="Helvetica Neue" w:eastAsia="Helvetica Neue" w:hAnsi="Helvetica Neue"/>
          <w:b w:val="1"/>
          <w:color w:val="000000"/>
          <w:sz w:val="22"/>
          <w:szCs w:val="22"/>
          <w:rtl w:val="0"/>
        </w:rPr>
        <w:t xml:space="preserve">nother</w:t>
      </w:r>
      <w:r w:rsidDel="00000000" w:rsidR="00000000" w:rsidRPr="00000000">
        <w:rPr>
          <w:rFonts w:ascii="Helvetica Neue" w:cs="Helvetica Neue" w:eastAsia="Helvetica Neue" w:hAnsi="Helvetica Neue"/>
          <w:b w:val="1"/>
          <w:sz w:val="22"/>
          <w:szCs w:val="22"/>
          <w:rtl w:val="0"/>
        </w:rPr>
        <w:tab/>
      </w:r>
      <w:r w:rsidDel="00000000" w:rsidR="00000000" w:rsidRPr="00000000">
        <w:rPr>
          <w:rFonts w:ascii="Helvetica Neue" w:cs="Helvetica Neue" w:eastAsia="Helvetica Neue" w:hAnsi="Helvetica Neue"/>
          <w:b w:val="1"/>
          <w:color w:val="000000"/>
          <w:sz w:val="22"/>
          <w:szCs w:val="22"/>
          <w:rtl w:val="0"/>
        </w:rPr>
        <w:tab/>
        <w:tab/>
        <w:tab/>
        <w:tab/>
        <w:tab/>
      </w:r>
    </w:p>
    <w:p w:rsidR="00000000" w:rsidDel="00000000" w:rsidP="00000000" w:rsidRDefault="00000000" w:rsidRPr="00000000" w14:paraId="00000029">
      <w:pPr>
        <w:pBdr>
          <w:top w:space="0" w:sz="0" w:val="nil"/>
          <w:left w:space="0" w:sz="0" w:val="nil"/>
          <w:bottom w:space="0" w:sz="0" w:val="nil"/>
          <w:right w:space="0" w:sz="0" w:val="nil"/>
          <w:between w:space="0" w:sz="0" w:val="nil"/>
        </w:pBdr>
        <w:jc w:val="both"/>
        <w:rPr>
          <w:rFonts w:ascii="Helvetica Neue" w:cs="Helvetica Neue" w:eastAsia="Helvetica Neue" w:hAnsi="Helvetica Neue"/>
          <w:color w:val="000000"/>
          <w:sz w:val="22"/>
          <w:szCs w:val="22"/>
        </w:rPr>
      </w:pPr>
      <w:hyperlink r:id="rId9">
        <w:r w:rsidDel="00000000" w:rsidR="00000000" w:rsidRPr="00000000">
          <w:rPr>
            <w:rFonts w:ascii="Helvetica Neue" w:cs="Helvetica Neue" w:eastAsia="Helvetica Neue" w:hAnsi="Helvetica Neue"/>
            <w:color w:val="1155cc"/>
            <w:sz w:val="22"/>
            <w:szCs w:val="22"/>
            <w:u w:val="single"/>
            <w:rtl w:val="0"/>
          </w:rPr>
          <w:t xml:space="preserve">axl.torres@another.co</w:t>
        </w:r>
      </w:hyperlink>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jc w:val="both"/>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55 3085 5438</w:t>
        <w:tab/>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76" w:lineRule="auto"/>
        <w:jc w:val="both"/>
        <w:rPr>
          <w:rFonts w:ascii="Helvetica Neue" w:cs="Helvetica Neue" w:eastAsia="Helvetica Neue" w:hAnsi="Helvetica Neue"/>
          <w:color w:val="000000"/>
        </w:rPr>
      </w:pPr>
      <w:r w:rsidDel="00000000" w:rsidR="00000000" w:rsidRPr="00000000">
        <w:rPr>
          <w:rtl w:val="0"/>
        </w:rPr>
      </w:r>
    </w:p>
    <w:sectPr>
      <w:headerReference r:id="rId10" w:type="default"/>
      <w:pgSz w:h="15840" w:w="12240" w:orient="portrait"/>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jc w:val="cente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Pr>
      <w:drawing>
        <wp:inline distB="0" distT="0" distL="0" distR="0">
          <wp:extent cx="2505075" cy="98182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505075" cy="981820"/>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jc w:val="center"/>
      <w:rPr>
        <w:rFonts w:ascii="Helvetica Neue" w:cs="Helvetica Neue" w:eastAsia="Helvetica Neue" w:hAnsi="Helvetica Neue"/>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pBdr>
        <w:top w:space="0" w:sz="0" w:val="nil"/>
        <w:left w:space="0" w:sz="0" w:val="nil"/>
        <w:bottom w:space="0" w:sz="0" w:val="nil"/>
        <w:right w:space="0" w:sz="0" w:val="nil"/>
        <w:between w:space="0" w:sz="0" w:val="nil"/>
      </w:pBdr>
    </w:pPr>
    <w:rPr>
      <w:rFonts w:ascii="Helvetica Neue" w:cs="Helvetica Neue" w:eastAsia="Helvetica Neue" w:hAnsi="Helvetica Neue"/>
      <w:color w:val="000000"/>
      <w:sz w:val="40"/>
      <w:szCs w:val="40"/>
    </w:rPr>
  </w:style>
  <w:style w:type="paragraph" w:styleId="BalloonText">
    <w:name w:val="Balloon Text"/>
    <w:basedOn w:val="Normal"/>
    <w:link w:val="BalloonTextChar"/>
    <w:uiPriority w:val="99"/>
    <w:semiHidden w:val="1"/>
    <w:unhideWhenUsed w:val="1"/>
    <w:rsid w:val="006957B0"/>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957B0"/>
    <w:rPr>
      <w:rFonts w:ascii="Segoe UI" w:cs="Segoe UI" w:hAnsi="Segoe UI"/>
      <w:sz w:val="18"/>
      <w:szCs w:val="18"/>
    </w:rPr>
  </w:style>
  <w:style w:type="character" w:styleId="CommentReference">
    <w:name w:val="annotation reference"/>
    <w:basedOn w:val="DefaultParagraphFont"/>
    <w:uiPriority w:val="99"/>
    <w:semiHidden w:val="1"/>
    <w:unhideWhenUsed w:val="1"/>
    <w:rsid w:val="00987474"/>
    <w:rPr>
      <w:sz w:val="16"/>
      <w:szCs w:val="16"/>
    </w:rPr>
  </w:style>
  <w:style w:type="paragraph" w:styleId="CommentText">
    <w:name w:val="annotation text"/>
    <w:basedOn w:val="Normal"/>
    <w:link w:val="CommentTextChar"/>
    <w:uiPriority w:val="99"/>
    <w:semiHidden w:val="1"/>
    <w:unhideWhenUsed w:val="1"/>
    <w:rsid w:val="00987474"/>
    <w:rPr>
      <w:sz w:val="20"/>
      <w:szCs w:val="20"/>
    </w:rPr>
  </w:style>
  <w:style w:type="character" w:styleId="CommentTextChar" w:customStyle="1">
    <w:name w:val="Comment Text Char"/>
    <w:basedOn w:val="DefaultParagraphFont"/>
    <w:link w:val="CommentText"/>
    <w:uiPriority w:val="99"/>
    <w:semiHidden w:val="1"/>
    <w:rsid w:val="00987474"/>
    <w:rPr>
      <w:sz w:val="20"/>
      <w:szCs w:val="20"/>
    </w:rPr>
  </w:style>
  <w:style w:type="paragraph" w:styleId="CommentSubject">
    <w:name w:val="annotation subject"/>
    <w:basedOn w:val="CommentText"/>
    <w:next w:val="CommentText"/>
    <w:link w:val="CommentSubjectChar"/>
    <w:uiPriority w:val="99"/>
    <w:semiHidden w:val="1"/>
    <w:unhideWhenUsed w:val="1"/>
    <w:rsid w:val="00987474"/>
    <w:rPr>
      <w:b w:val="1"/>
      <w:bCs w:val="1"/>
    </w:rPr>
  </w:style>
  <w:style w:type="character" w:styleId="CommentSubjectChar" w:customStyle="1">
    <w:name w:val="Comment Subject Char"/>
    <w:basedOn w:val="CommentTextChar"/>
    <w:link w:val="CommentSubject"/>
    <w:uiPriority w:val="99"/>
    <w:semiHidden w:val="1"/>
    <w:rsid w:val="00987474"/>
    <w:rPr>
      <w:b w:val="1"/>
      <w:bCs w:val="1"/>
      <w:sz w:val="20"/>
      <w:szCs w:val="20"/>
    </w:rPr>
  </w:style>
  <w:style w:type="paragraph" w:styleId="Subtitle">
    <w:name w:val="Subtitle"/>
    <w:basedOn w:val="Normal"/>
    <w:next w:val="Normal"/>
    <w:pPr>
      <w:keepNext w:val="1"/>
      <w:pBdr>
        <w:top w:space="0" w:sz="0" w:val="nil"/>
        <w:left w:space="0" w:sz="0" w:val="nil"/>
        <w:bottom w:space="0" w:sz="0" w:val="nil"/>
        <w:right w:space="0" w:sz="0" w:val="nil"/>
        <w:between w:space="0" w:sz="0" w:val="nil"/>
      </w:pBdr>
    </w:pPr>
    <w:rPr>
      <w:rFonts w:ascii="Helvetica Neue" w:cs="Helvetica Neue" w:eastAsia="Helvetica Neue" w:hAnsi="Helvetica Neue"/>
      <w:color w:val="000000"/>
      <w:sz w:val="40"/>
      <w:szCs w:val="4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axl.torres@another.co"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pmi.com" TargetMode="External"/><Relationship Id="rId8" Type="http://schemas.openxmlformats.org/officeDocument/2006/relationships/hyperlink" Target="http://www.pmiscienc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P4rfKFceHc9N2tDzqfLvo827oA==">AMUW2mUdOKKhOGTNUDmj9no/sKEISEp41mYSZAnHkWw6GWcqAJKe8XP96pon0J7nA/pAwgac/V5KmcLRZWu6eXXhdF6JVne2YEKn7IHszgYb9Dk/9kCYwhW7e3i5ZUsp/F98jx6Rdy1A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2021-05-26T23:37:00Z</dcterms:created>
  <dc:creator>Betancourt, Catalina</dc:creator>
</cp:coreProperties>
</file>